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isaiah-10"/>
    <w:p>
      <w:pPr>
        <w:pStyle w:val="Heading1"/>
      </w:pPr>
      <w:r>
        <w:t xml:space="preserve">Homiletics Analysis: Isaiah 10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Isaiah 10 moves through three distinct but interlocking movements. First (vv. 1–4), the chapter opens with a series of</w:t>
      </w:r>
      <w:r>
        <w:t xml:space="preserve"> </w:t>
      </w:r>
      <w:r>
        <w:t xml:space="preserve">“woe”</w:t>
      </w:r>
      <w:r>
        <w:t xml:space="preserve"> </w:t>
      </w:r>
      <w:r>
        <w:t xml:space="preserve">oracles against Israel’s own corrupt leaders — those who legislate injustice, rob the poor, and exploit the vulnerable, culminating in the refrain:</w:t>
      </w:r>
      <w:r>
        <w:t xml:space="preserve"> </w:t>
      </w:r>
      <w:r>
        <w:t xml:space="preserve">“Yet for all this, his anger is not turned away, his hand is still upraised.”</w:t>
      </w:r>
      <w:r>
        <w:t xml:space="preserve"> </w:t>
      </w:r>
      <w:r>
        <w:t xml:space="preserve">Second (vv. 5–19), the chapter pivots dramatically to Assyria, the instrument God has wielded against His people, and announces that Assyria itself now stands under divine judgment — not because it was wrong to punish Israel, but because Assyria acted in arrogant self-aggrandizement rather than humble instrumentality, taking credit for what was God’s sovereign work and overreaching its divinely appointed commission. Third (vv. 20–34), the chapter closes with a word of eschatological hope for a faithful remnant — a</w:t>
      </w:r>
      <w:r>
        <w:t xml:space="preserve"> </w:t>
      </w:r>
      <w:r>
        <w:t xml:space="preserve">“remnant of Israel”</w:t>
      </w:r>
      <w:r>
        <w:t xml:space="preserve"> </w:t>
      </w:r>
      <w:r>
        <w:t xml:space="preserve">and</w:t>
      </w:r>
      <w:r>
        <w:t xml:space="preserve"> </w:t>
      </w:r>
      <w:r>
        <w:t xml:space="preserve">“survivors of the house of Jacob”</w:t>
      </w:r>
      <w:r>
        <w:t xml:space="preserve"> </w:t>
      </w:r>
      <w:r>
        <w:t xml:space="preserve">who will</w:t>
      </w:r>
      <w:r>
        <w:t xml:space="preserve"> </w:t>
      </w:r>
      <w:r>
        <w:t xml:space="preserve">“truly rely on the LORD, the Holy One of Israel.”</w:t>
      </w:r>
      <w:r>
        <w:t xml:space="preserve"> </w:t>
      </w:r>
      <w:r>
        <w:t xml:space="preserve">The chapter ends with the dramatic image of Assyria being cut down like a forest by a divine axe, and the oppressed people being freed.</w:t>
      </w:r>
    </w:p>
    <w:p>
      <w:pPr>
        <w:pStyle w:val="BodyText"/>
      </w:pPr>
      <w:r>
        <w:rPr>
          <w:b/>
          <w:bCs/>
        </w:rPr>
        <w:t xml:space="preserve">This Text — Intent</w:t>
      </w:r>
    </w:p>
    <w:p>
      <w:pPr>
        <w:pStyle w:val="BodyText"/>
      </w:pPr>
      <w:r>
        <w:t xml:space="preserve">God is working two simultaneous effects through this chapter: (1) He is dismantling every human pretension to autonomous power — whether Israel’s corrupt judiciary or Assyria’s imperial arrogance — by demonstrating that He alone is the sovereign who commissions, limits, and judges every earthly power; and (2) He is sustaining the faith of the remnant through the darkness of judgment by insisting that no instrument of His wrath, however fearsome, is beyond His control or capable of thwarting His purposes for His people. The chapter is addressed to people who are terrified of Assyria and tempted to despair — and God is saying:</w:t>
      </w:r>
      <w:r>
        <w:t xml:space="preserve"> </w:t>
      </w:r>
      <w:r>
        <w:rPr>
          <w:i/>
          <w:iCs/>
        </w:rPr>
        <w:t xml:space="preserve">I built Assyria; I will break Assyria; your hope is in Me alone.</w:t>
      </w:r>
      <w:r>
        <w:t xml:space="preserve"> </w:t>
      </w:r>
      <w:r>
        <w:t xml:space="preserve">The practical effect in view is that the remnant abandon every functional savior — whether political alliance, national pride, or fear of empire — and</w:t>
      </w:r>
      <w:r>
        <w:t xml:space="preserve"> </w:t>
      </w:r>
      <w:r>
        <w:t xml:space="preserve">“rely on the LORD, the Holy One of Israel, in truth.”</w:t>
      </w:r>
    </w:p>
    <w:p>
      <w:r>
        <w:pict>
          <v:rect style="width:0;height:1.5pt" o:hralign="center" o:hrstd="t" o:hr="t"/>
        </w:pict>
      </w:r>
    </w:p>
    <w:p>
      <w:pPr>
        <w:pStyle w:val="FirstParagraph"/>
      </w:pPr>
      <w:r>
        <w:rPr>
          <w:b/>
          <w:bCs/>
        </w:rPr>
        <w:t xml:space="preserve">Subject Sentence:</w:t>
      </w:r>
      <w:r>
        <w:t xml:space="preserve"> </w:t>
      </w:r>
      <w:r>
        <w:t xml:space="preserve">The LORD alone commissions, limits, and judges every earthly power — none escapes His sovereign hand.</w:t>
      </w:r>
    </w:p>
    <w:p>
      <w:r>
        <w:pict>
          <v:rect style="width:0;height:1.5pt" o:hralign="center" o:hrstd="t" o:hr="t"/>
        </w:pict>
      </w:r>
    </w:p>
    <w:p>
      <w:pPr>
        <w:pStyle w:val="FirstParagraph"/>
      </w:pPr>
      <w:r>
        <w:rPr>
          <w:b/>
          <w:bCs/>
        </w:rPr>
        <w:t xml:space="preserve">Primary Claim:</w:t>
      </w:r>
      <w:r>
        <w:t xml:space="preserve"> </w:t>
      </w:r>
      <w:r>
        <w:t xml:space="preserve">God is calling His people to see that every power that threatens them is already in His hand — raised up by Him, bounded by Him, and answerable to Him — so that their only rational, faithful response is to stop fearing what He controls and trust the One who controls 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Assyria’s Guilt</w:t>
      </w:r>
    </w:p>
    <w:p>
      <w:pPr>
        <w:pStyle w:val="BodyText"/>
      </w:pPr>
      <w:r>
        <w:t xml:space="preserve">The central interpretive question in this chapter is how Assyria can be morally culpable for doing precisely what God commissioned it to do (v. 6:</w:t>
      </w:r>
      <w:r>
        <w:t xml:space="preserve"> </w:t>
      </w:r>
      <w:r>
        <w:t xml:space="preserve">“I send him against a godless nation”</w:t>
      </w:r>
      <w:r>
        <w:t xml:space="preserve">). This tension has generated several readings. Some in the broadly Arminian and Open Theist tradition have read this as evidence that God’s sovereignty is</w:t>
      </w:r>
      <w:r>
        <w:t xml:space="preserve"> </w:t>
      </w:r>
      <w:r>
        <w:rPr>
          <w:i/>
          <w:iCs/>
        </w:rPr>
        <w:t xml:space="preserve">permissive</w:t>
      </w:r>
      <w:r>
        <w:t xml:space="preserve"> </w:t>
      </w:r>
      <w:r>
        <w:t xml:space="preserve">rather than</w:t>
      </w:r>
      <w:r>
        <w:t xml:space="preserve"> </w:t>
      </w:r>
      <w:r>
        <w:rPr>
          <w:i/>
          <w:iCs/>
        </w:rPr>
        <w:t xml:space="preserve">directive</w:t>
      </w:r>
      <w:r>
        <w:t xml:space="preserve"> </w:t>
      </w:r>
      <w:r>
        <w:t xml:space="preserve">— God allowed Assyria to act; its arrogance was entirely its own autonomous invention. This reading partially captures something real (Assyria is genuinely guilty, not merely performing a role) but undoes the text’s own claim. The text explicitly says God</w:t>
      </w:r>
      <w:r>
        <w:t xml:space="preserve"> </w:t>
      </w:r>
      <w:r>
        <w:rPr>
          <w:i/>
          <w:iCs/>
        </w:rPr>
        <w:t xml:space="preserve">sent</w:t>
      </w:r>
      <w:r>
        <w:t xml:space="preserve"> </w:t>
      </w:r>
      <w:r>
        <w:t xml:space="preserve">Assyria and</w:t>
      </w:r>
      <w:r>
        <w:t xml:space="preserve"> </w:t>
      </w:r>
      <w:r>
        <w:rPr>
          <w:i/>
          <w:iCs/>
        </w:rPr>
        <w:t xml:space="preserve">commanded</w:t>
      </w:r>
      <w:r>
        <w:t xml:space="preserve"> </w:t>
      </w:r>
      <w:r>
        <w:t xml:space="preserve">it (v. 6), not merely foresaw or permitted its campaign. The Reformed reading — that God is the ultimate cause and Assyria is the proximate, morally responsible agent — is not a harmonization imposed from outside but what the text itself requires. Verse 15 makes this unmistakable: the axe does not boast over the one who swings it. Assyria’s guilt lies not in being used but in the</w:t>
      </w:r>
      <w:r>
        <w:t xml:space="preserve"> </w:t>
      </w:r>
      <w:r>
        <w:rPr>
          <w:i/>
          <w:iCs/>
        </w:rPr>
        <w:t xml:space="preserve">posture</w:t>
      </w:r>
      <w:r>
        <w:t xml:space="preserve"> </w:t>
      </w:r>
      <w:r>
        <w:t xml:space="preserve">of its use — it absorbed God’s commission into its own pride and pursued its own agenda of annihilation beyond what God appointed.</w:t>
      </w:r>
    </w:p>
    <w:p>
      <w:pPr>
        <w:pStyle w:val="BodyText"/>
      </w:pPr>
      <w:r>
        <w:rPr>
          <w:b/>
          <w:bCs/>
        </w:rPr>
        <w:t xml:space="preserve">The Remnant (vv. 20–23)</w:t>
      </w:r>
    </w:p>
    <w:p>
      <w:pPr>
        <w:pStyle w:val="BodyText"/>
      </w:pPr>
      <w:r>
        <w:t xml:space="preserve">Some dispensational interpreters read the</w:t>
      </w:r>
      <w:r>
        <w:t xml:space="preserve"> </w:t>
      </w:r>
      <w:r>
        <w:t xml:space="preserve">“remnant”</w:t>
      </w:r>
      <w:r>
        <w:t xml:space="preserve"> </w:t>
      </w:r>
      <w:r>
        <w:t xml:space="preserve">in verses 20–23 as referring exclusively to a future ethnic Israel restored in the millennium, essentially leaping over any present-tense or church-age fulfillment. While the passage does carry an eschatological dimension — and Paul’s use of this very text in Romans 9:27–28 demonstrates its canonical reach — the dispensational reading too sharply severs the original historical referent from its prophetic extension. The Reformed reading holds both: there is a historical remnant (those in Judah who survive and trust rather than capitulate to Assyria or Egypt), and there is an eschatological remnant (all whom God preserves through judgment to inherit the promise). Paul’s use of Isaiah 10:22–23 in Romans 9 does not</w:t>
      </w:r>
      <w:r>
        <w:t xml:space="preserve"> </w:t>
      </w:r>
      <w:r>
        <w:rPr>
          <w:i/>
          <w:iCs/>
        </w:rPr>
        <w:t xml:space="preserve">replace</w:t>
      </w:r>
      <w:r>
        <w:t xml:space="preserve"> </w:t>
      </w:r>
      <w:r>
        <w:t xml:space="preserve">the original referent but extends and fulfills it — the remnant principle is the</w:t>
      </w:r>
      <w:r>
        <w:t xml:space="preserve"> </w:t>
      </w:r>
      <w:r>
        <w:rPr>
          <w:i/>
          <w:iCs/>
        </w:rPr>
        <w:t xml:space="preserve">mode</w:t>
      </w:r>
      <w:r>
        <w:t xml:space="preserve"> </w:t>
      </w:r>
      <w:r>
        <w:t xml:space="preserve">of God’s elective grace across both testaments.</w:t>
      </w:r>
    </w:p>
    <w:p>
      <w:pPr>
        <w:pStyle w:val="BodyText"/>
      </w:pPr>
      <w:r>
        <w:rPr>
          <w:b/>
          <w:bCs/>
        </w:rPr>
        <w:t xml:space="preserve">Verse 5 and the Problem of Evil Instruments</w:t>
      </w:r>
    </w:p>
    <w:p>
      <w:pPr>
        <w:pStyle w:val="BodyText"/>
      </w:pPr>
      <w:r>
        <w:t xml:space="preserve">Some popular-level teaching flattens this passage into a simple</w:t>
      </w:r>
      <w:r>
        <w:t xml:space="preserve"> </w:t>
      </w:r>
      <w:r>
        <w:t xml:space="preserve">“God uses bad people for good purposes”</w:t>
      </w:r>
      <w:r>
        <w:t xml:space="preserve"> </w:t>
      </w:r>
      <w:r>
        <w:t xml:space="preserve">observation, losing the severity of what is actually happening. God is not merely</w:t>
      </w:r>
      <w:r>
        <w:t xml:space="preserve"> </w:t>
      </w:r>
      <w:r>
        <w:rPr>
          <w:i/>
          <w:iCs/>
        </w:rPr>
        <w:t xml:space="preserve">noting</w:t>
      </w:r>
      <w:r>
        <w:t xml:space="preserve"> </w:t>
      </w:r>
      <w:r>
        <w:t xml:space="preserve">that He can use evil instruments — He is prosecuting Assyria for the precise way it used its commission. The pastoral weight of the passage is not</w:t>
      </w:r>
      <w:r>
        <w:t xml:space="preserve"> </w:t>
      </w:r>
      <w:r>
        <w:t xml:space="preserve">“God works all things together for good”</w:t>
      </w:r>
      <w:r>
        <w:t xml:space="preserve"> </w:t>
      </w:r>
      <w:r>
        <w:t xml:space="preserve">(though that is true) but something sharper:</w:t>
      </w:r>
      <w:r>
        <w:t xml:space="preserve"> </w:t>
      </w:r>
      <w:r>
        <w:rPr>
          <w:i/>
          <w:iCs/>
        </w:rPr>
        <w:t xml:space="preserve">no power that oppresses you is autonomous, and no power that exceeds its divine commission escapes judgment.</w:t>
      </w:r>
      <w:r>
        <w:t xml:space="preserve"> </w:t>
      </w:r>
      <w:r>
        <w:t xml:space="preserve">Flattening this to a general theodicy platitude is a genuine misreading that evacuates the passage’s specific encouragement to the remnant.</w:t>
      </w:r>
    </w:p>
    <w:p>
      <w:pPr>
        <w:pStyle w:val="BodyText"/>
      </w:pPr>
      <w:r>
        <w:rPr>
          <w:b/>
          <w:bCs/>
        </w:rPr>
        <w:t xml:space="preserve">The Christological Dimension</w:t>
      </w:r>
    </w:p>
    <w:p>
      <w:pPr>
        <w:pStyle w:val="BodyText"/>
      </w:pPr>
      <w:r>
        <w:t xml:space="preserve">The Lutheran Law/Gospel tradition reads the woe oracles (vv. 1–4) primarily as law-preaching, establishing guilt and driving the hearer to grace. This is not wrong, but it is insufficient for this passage, which moves beyond guilt-establishment to a grand demonstration of divine sovereignty over history. The Reformed reading locates the Christological dimension differently — not primarily in the Law/Gospel contrast but in the remnant theology that runs through the passage and points forward to Christ as the ultimate Remnant (Isaiah 11 begins immediately after, introducing the Branch from Jesse). Isaiah 10 closes with Assyria felled; Isaiah 11 opens with a shoot from a felled stump. The connection is structural and deliberate.</w:t>
      </w:r>
    </w:p>
    <w:p>
      <w:pPr>
        <w:pStyle w:val="BodyText"/>
      </w:pPr>
      <w:r>
        <w:rPr>
          <w:b/>
          <w:bCs/>
        </w:rPr>
        <w:t xml:space="preserve">The Reformed verdict</w:t>
      </w:r>
      <w:r>
        <w:t xml:space="preserve">: The reading that best accounts for the whole text holds that God is the genuine sovereign commissioner of Assyria’s rise and judge of its arrogance; that Assyria’s guilt is real and grounded in its disposition, not merely its actions; that the remnant is both historically specific and eschatologically extended; and that the passage’s primary claim is not theodicy-general but encouragement-specific — addressed to people who need to stop fearing what God controls.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Romans 9:27–28</w:t>
      </w:r>
      <w:r>
        <w:t xml:space="preserve"> </w:t>
      </w:r>
      <w:r>
        <w:t xml:space="preserve">— Paul quotes Isaiah 10:22–23 directly as evidence of God’s elective sovereignty in preserving a remnant from Israel, demonstrating that the remnant principle is the spine of God’s redemptive purposes across both testaments.</w:t>
      </w:r>
    </w:p>
    <w:p>
      <w:pPr>
        <w:numPr>
          <w:ilvl w:val="0"/>
          <w:numId w:val="1001"/>
        </w:numPr>
      </w:pPr>
      <w:r>
        <w:rPr>
          <w:b/>
          <w:bCs/>
        </w:rPr>
        <w:t xml:space="preserve">Habakkuk 1:5–11; 2:2–20</w:t>
      </w:r>
      <w:r>
        <w:t xml:space="preserve"> </w:t>
      </w:r>
      <w:r>
        <w:t xml:space="preserve">— The identical theological tension — God raising up a violent empire as His instrument, then holding that empire accountable for its arrogance — runs through Habakkuk’s dialogue with God regarding Babylon; the two passages mutually illuminate both the problem and the resolution.</w:t>
      </w:r>
    </w:p>
    <w:p>
      <w:pPr>
        <w:numPr>
          <w:ilvl w:val="0"/>
          <w:numId w:val="1001"/>
        </w:numPr>
      </w:pPr>
      <w:r>
        <w:rPr>
          <w:b/>
          <w:bCs/>
        </w:rPr>
        <w:t xml:space="preserve">Isaiah 37:21–35 (cf. 2 Kings 19)</w:t>
      </w:r>
      <w:r>
        <w:t xml:space="preserve"> </w:t>
      </w:r>
      <w:r>
        <w:t xml:space="preserve">— The historical fulfillment narrative: Sennacherib’s army is destroyed overnight, demonstrating that God’s announced judgment on Assyrian arrogance (Isaiah 10) is not rhetoric but certainty. The canonical sequence shows promise and fulfillment within a single generation.</w:t>
      </w:r>
    </w:p>
    <w:p>
      <w:pPr>
        <w:numPr>
          <w:ilvl w:val="0"/>
          <w:numId w:val="1001"/>
        </w:numPr>
      </w:pPr>
      <w:r>
        <w:rPr>
          <w:b/>
          <w:bCs/>
        </w:rPr>
        <w:t xml:space="preserve">Proverbs 21:1</w:t>
      </w:r>
      <w:r>
        <w:t xml:space="preserve"> </w:t>
      </w:r>
      <w:r>
        <w:t xml:space="preserve">—</w:t>
      </w:r>
      <w:r>
        <w:t xml:space="preserve"> </w:t>
      </w:r>
      <w:r>
        <w:t xml:space="preserve">“The king’s heart is a stream of water in the hand of the LORD; he turns it wherever he will”</w:t>
      </w:r>
      <w:r>
        <w:t xml:space="preserve"> </w:t>
      </w:r>
      <w:r>
        <w:t xml:space="preserve">— the wisdom literature’s terse statement of what Isaiah 10 demonstrates narratively: every ruler is already in God’s hand.</w:t>
      </w:r>
    </w:p>
    <w:p>
      <w:pPr>
        <w:numPr>
          <w:ilvl w:val="0"/>
          <w:numId w:val="1001"/>
        </w:numPr>
      </w:pPr>
      <w:r>
        <w:rPr>
          <w:b/>
          <w:bCs/>
        </w:rPr>
        <w:t xml:space="preserve">Revelation 17:12–17</w:t>
      </w:r>
      <w:r>
        <w:t xml:space="preserve"> </w:t>
      </w:r>
      <w:r>
        <w:t xml:space="preserve">— In the final canonical word on this pattern, God sovereignly uses hostile powers to accomplish His purposes and then judges those powers — the beast and the kings of the earth, like Assyria, serve God’s purposes without acknowledging it and are destroyed in the same motion.</w:t>
      </w:r>
    </w:p>
    <w:p>
      <w:r>
        <w:pict>
          <v:rect style="width:0;height:1.5pt" o:hralign="center" o:hrstd="t" o:hr="t"/>
        </w:pict>
      </w:r>
    </w:p>
    <w:p>
      <w:pPr>
        <w:pStyle w:val="FirstParagraph"/>
      </w:pPr>
      <w:r>
        <w:rPr>
          <w:b/>
          <w:bCs/>
        </w:rPr>
        <w:t xml:space="preserve">Aim:</w:t>
      </w:r>
      <w:r>
        <w:t xml:space="preserve"> </w:t>
      </w:r>
      <w:r>
        <w:t xml:space="preserve">To demonstrate from Isaiah 10 that God’s absolute sovereignty over every threatening power is the specific ground on which the remnant is called to abandon fear and rest in trust — and to press that claim concretely on any reader tempted to locate their security in something other than the LORD.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Woe oracle against those who legislate injustice and deprive the vulnerable of their rights</w:t>
            </w:r>
          </w:p>
        </w:tc>
        <w:tc>
          <w:tcPr/>
          <w:p>
            <w:pPr>
              <w:pStyle w:val="Compact"/>
            </w:pPr>
            <w:r>
              <w:t xml:space="preserve">“Unjust laws”</w:t>
            </w:r>
            <w:r>
              <w:t xml:space="preserve"> </w:t>
            </w:r>
            <w:r>
              <w:t xml:space="preserve">and</w:t>
            </w:r>
            <w:r>
              <w:t xml:space="preserve"> </w:t>
            </w:r>
            <w:r>
              <w:t xml:space="preserve">“oppressive decrees”</w:t>
            </w:r>
            <w:r>
              <w:t xml:space="preserve"> </w:t>
            </w:r>
            <w:r>
              <w:t xml:space="preserve">— deliberate perversion of the judicial system; the poor, widows, fatherless named specifically</w:t>
            </w:r>
          </w:p>
        </w:tc>
      </w:tr>
      <w:tr>
        <w:tc>
          <w:tcPr/>
          <w:p>
            <w:pPr>
              <w:pStyle w:val="Compact"/>
            </w:pPr>
            <w:r>
              <w:t xml:space="preserve">3–4</w:t>
            </w:r>
          </w:p>
        </w:tc>
        <w:tc>
          <w:tcPr/>
          <w:p>
            <w:pPr>
              <w:pStyle w:val="Compact"/>
            </w:pPr>
            <w:r>
              <w:t xml:space="preserve">Rhetorical challenge: what will you do when judgment comes? Where will you flee? Ends with the refrain:</w:t>
            </w:r>
            <w:r>
              <w:t xml:space="preserve"> </w:t>
            </w:r>
            <w:r>
              <w:t xml:space="preserve">“Yet for all this, his anger is not turned away, his hand is still upraised.”</w:t>
            </w:r>
          </w:p>
        </w:tc>
        <w:tc>
          <w:tcPr/>
          <w:p>
            <w:pPr>
              <w:pStyle w:val="Compact"/>
            </w:pPr>
            <w:r>
              <w:t xml:space="preserve">This refrain has appeared at the end of several preceding sections (9:12, 9:17, 9:21) — Isaiah 10:4 is the final instance; it functions as a closing hammer-blow on the woe sequence</w:t>
            </w:r>
          </w:p>
        </w:tc>
      </w:tr>
      <w:tr>
        <w:tc>
          <w:tcPr/>
          <w:p>
            <w:pPr>
              <w:pStyle w:val="Compact"/>
            </w:pPr>
            <w:r>
              <w:t xml:space="preserve">5–6</w:t>
            </w:r>
          </w:p>
        </w:tc>
        <w:tc>
          <w:tcPr/>
          <w:p>
            <w:pPr>
              <w:pStyle w:val="Compact"/>
            </w:pPr>
            <w:r>
              <w:t xml:space="preserve">The LORD declares Assyria His instrument —</w:t>
            </w:r>
            <w:r>
              <w:t xml:space="preserve"> </w:t>
            </w:r>
            <w:r>
              <w:t xml:space="preserve">“the rod of my anger,”</w:t>
            </w:r>
            <w:r>
              <w:t xml:space="preserve"> </w:t>
            </w:r>
            <w:r>
              <w:t xml:space="preserve">“the staff of my fury”</w:t>
            </w:r>
            <w:r>
              <w:t xml:space="preserve"> </w:t>
            </w:r>
            <w:r>
              <w:t xml:space="preserve">— commissioned to punish a godless nation</w:t>
            </w:r>
          </w:p>
        </w:tc>
        <w:tc>
          <w:tcPr/>
          <w:p>
            <w:pPr>
              <w:pStyle w:val="Compact"/>
            </w:pPr>
            <w:r>
              <w:t xml:space="preserve">Critical: God</w:t>
            </w:r>
            <w:r>
              <w:t xml:space="preserve"> </w:t>
            </w:r>
            <w:r>
              <w:rPr>
                <w:i/>
                <w:iCs/>
              </w:rPr>
              <w:t xml:space="preserve">sends</w:t>
            </w:r>
            <w:r>
              <w:t xml:space="preserve"> </w:t>
            </w:r>
            <w:r>
              <w:t xml:space="preserve">and</w:t>
            </w:r>
            <w:r>
              <w:t xml:space="preserve"> </w:t>
            </w:r>
            <w:r>
              <w:rPr>
                <w:i/>
                <w:iCs/>
              </w:rPr>
              <w:t xml:space="preserve">commands</w:t>
            </w:r>
            <w:r>
              <w:t xml:space="preserve"> </w:t>
            </w:r>
            <w:r>
              <w:t xml:space="preserve">Assyria; the sovereignty is explicit and direct</w:t>
            </w:r>
          </w:p>
        </w:tc>
      </w:tr>
      <w:tr>
        <w:tc>
          <w:tcPr/>
          <w:p>
            <w:pPr>
              <w:pStyle w:val="Compact"/>
            </w:pPr>
            <w:r>
              <w:t xml:space="preserve">7</w:t>
            </w:r>
          </w:p>
        </w:tc>
        <w:tc>
          <w:tcPr/>
          <w:p>
            <w:pPr>
              <w:pStyle w:val="Compact"/>
            </w:pPr>
            <w:r>
              <w:t xml:space="preserve">But Assyria does not understand this —</w:t>
            </w:r>
            <w:r>
              <w:t xml:space="preserve"> </w:t>
            </w:r>
            <w:r>
              <w:t xml:space="preserve">“this is not what he intends, this is not what he has in mind”</w:t>
            </w:r>
          </w:p>
        </w:tc>
        <w:tc>
          <w:tcPr/>
          <w:p>
            <w:pPr>
              <w:pStyle w:val="Compact"/>
            </w:pPr>
            <w:r>
              <w:t xml:space="preserve">The gap between God’s purpose and Assyria’s self-understanding is the hinge of the chapter’s theological argument</w:t>
            </w:r>
          </w:p>
        </w:tc>
      </w:tr>
      <w:tr>
        <w:tc>
          <w:tcPr/>
          <w:p>
            <w:pPr>
              <w:pStyle w:val="Compact"/>
            </w:pPr>
            <w:r>
              <w:t xml:space="preserve">8–11</w:t>
            </w:r>
          </w:p>
        </w:tc>
        <w:tc>
          <w:tcPr/>
          <w:p>
            <w:pPr>
              <w:pStyle w:val="Compact"/>
            </w:pPr>
            <w:r>
              <w:t xml:space="preserve">Assyria’s boast: all nations have fallen before me; Samaria is like Damascus; Jerusalem will fall like them</w:t>
            </w:r>
          </w:p>
        </w:tc>
        <w:tc>
          <w:tcPr/>
          <w:p>
            <w:pPr>
              <w:pStyle w:val="Compact"/>
            </w:pPr>
            <w:r>
              <w:t xml:space="preserve">Arrogance escalates — Assyria conflates its instruments (idols and armies) with Yahweh, treating all gods as equivalent and all kingdoms as equally conquerable</w:t>
            </w:r>
          </w:p>
        </w:tc>
      </w:tr>
      <w:tr>
        <w:tc>
          <w:tcPr/>
          <w:p>
            <w:pPr>
              <w:pStyle w:val="Compact"/>
            </w:pPr>
            <w:r>
              <w:t xml:space="preserve">12</w:t>
            </w:r>
          </w:p>
        </w:tc>
        <w:tc>
          <w:tcPr/>
          <w:p>
            <w:pPr>
              <w:pStyle w:val="Compact"/>
            </w:pPr>
            <w:r>
              <w:t xml:space="preserve">The LORD declares: after His work on Jerusalem is done, He will punish the</w:t>
            </w:r>
            <w:r>
              <w:t xml:space="preserve"> </w:t>
            </w:r>
            <w:r>
              <w:t xml:space="preserve">“willful pride of the king of Assyria and the haughty look in his eyes”</w:t>
            </w:r>
          </w:p>
        </w:tc>
        <w:tc>
          <w:tcPr/>
          <w:p>
            <w:pPr>
              <w:pStyle w:val="Compact"/>
            </w:pPr>
            <w:r>
              <w:t xml:space="preserve">The divine calendar is explicit —</w:t>
            </w:r>
            <w:r>
              <w:t xml:space="preserve"> </w:t>
            </w:r>
            <w:r>
              <w:t xml:space="preserve">“after the Lord has finished all his work against Mount Zion and Jerusalem”</w:t>
            </w:r>
            <w:r>
              <w:t xml:space="preserve">; judgment on Assyria is</w:t>
            </w:r>
            <w:r>
              <w:t xml:space="preserve"> </w:t>
            </w:r>
            <w:r>
              <w:rPr>
                <w:i/>
                <w:iCs/>
              </w:rPr>
              <w:t xml:space="preserve">subsequent to</w:t>
            </w:r>
            <w:r>
              <w:t xml:space="preserve"> </w:t>
            </w:r>
            <w:r>
              <w:t xml:space="preserve">and</w:t>
            </w:r>
            <w:r>
              <w:t xml:space="preserve"> </w:t>
            </w:r>
            <w:r>
              <w:rPr>
                <w:i/>
                <w:iCs/>
              </w:rPr>
              <w:t xml:space="preserve">distinguished from</w:t>
            </w:r>
            <w:r>
              <w:t xml:space="preserve"> </w:t>
            </w:r>
            <w:r>
              <w:t xml:space="preserve">judgment on Israel</w:t>
            </w:r>
          </w:p>
        </w:tc>
      </w:tr>
      <w:tr>
        <w:tc>
          <w:tcPr/>
          <w:p>
            <w:pPr>
              <w:pStyle w:val="Compact"/>
            </w:pPr>
            <w:r>
              <w:t xml:space="preserve">13–14</w:t>
            </w:r>
          </w:p>
        </w:tc>
        <w:tc>
          <w:tcPr/>
          <w:p>
            <w:pPr>
              <w:pStyle w:val="Compact"/>
            </w:pPr>
            <w:r>
              <w:t xml:space="preserve">Assyria’s further boast:</w:t>
            </w:r>
            <w:r>
              <w:t xml:space="preserve"> </w:t>
            </w:r>
            <w:r>
              <w:t xml:space="preserve">“By the strength of my hand I have done this, and by my wisdom”</w:t>
            </w:r>
            <w:r>
              <w:t xml:space="preserve"> </w:t>
            </w:r>
            <w:r>
              <w:t xml:space="preserve">— recounts conquests with images of gathering wealth like abandoned eggs</w:t>
            </w:r>
          </w:p>
        </w:tc>
        <w:tc>
          <w:tcPr/>
          <w:p>
            <w:pPr>
              <w:pStyle w:val="Compact"/>
            </w:pPr>
            <w:r>
              <w:t xml:space="preserve">The pride is explicitly</w:t>
            </w:r>
            <w:r>
              <w:t xml:space="preserve"> </w:t>
            </w:r>
            <w:r>
              <w:rPr>
                <w:i/>
                <w:iCs/>
              </w:rPr>
              <w:t xml:space="preserve">self-attribution</w:t>
            </w:r>
            <w:r>
              <w:t xml:space="preserve"> </w:t>
            </w:r>
            <w:r>
              <w:t xml:space="preserve">—</w:t>
            </w:r>
            <w:r>
              <w:t xml:space="preserve"> </w:t>
            </w:r>
            <w:r>
              <w:t xml:space="preserve">“my hand,”</w:t>
            </w:r>
            <w:r>
              <w:t xml:space="preserve"> </w:t>
            </w:r>
            <w:r>
              <w:t xml:space="preserve">“my wisdom,”</w:t>
            </w:r>
            <w:r>
              <w:t xml:space="preserve"> </w:t>
            </w:r>
            <w:r>
              <w:t xml:space="preserve">“my understanding”</w:t>
            </w:r>
            <w:r>
              <w:t xml:space="preserve"> </w:t>
            </w:r>
            <w:r>
              <w:t xml:space="preserve">repeated; this is the specific sin</w:t>
            </w:r>
          </w:p>
        </w:tc>
      </w:tr>
      <w:tr>
        <w:tc>
          <w:tcPr/>
          <w:p>
            <w:pPr>
              <w:pStyle w:val="Compact"/>
            </w:pPr>
            <w:r>
              <w:t xml:space="preserve">15</w:t>
            </w:r>
          </w:p>
        </w:tc>
        <w:tc>
          <w:tcPr/>
          <w:p>
            <w:pPr>
              <w:pStyle w:val="Compact"/>
            </w:pPr>
            <w:r>
              <w:t xml:space="preserve">Rhetorical rebuke via instrument metaphors: does an axe boast over the woodcutter? Does a rod shake the one who wields it?</w:t>
            </w:r>
          </w:p>
        </w:tc>
        <w:tc>
          <w:tcPr/>
          <w:p>
            <w:pPr>
              <w:pStyle w:val="Compact"/>
            </w:pPr>
            <w:r>
              <w:t xml:space="preserve">The most theologically concentrated verse in the chapter; the instrument/wielder distinction makes the absurdity of Assyria’s boast plain</w:t>
            </w:r>
          </w:p>
        </w:tc>
      </w:tr>
      <w:tr>
        <w:tc>
          <w:tcPr/>
          <w:p>
            <w:pPr>
              <w:pStyle w:val="Compact"/>
            </w:pPr>
            <w:r>
              <w:t xml:space="preserve">16–19</w:t>
            </w:r>
          </w:p>
        </w:tc>
        <w:tc>
          <w:tcPr/>
          <w:p>
            <w:pPr>
              <w:pStyle w:val="Compact"/>
            </w:pPr>
            <w:r>
              <w:t xml:space="preserve">Judgment announced against Assyria: wasting disease, fire, the Light of Israel consuming the glory of Assyria’s forest in a single day; so few trees that a child could count them</w:t>
            </w:r>
          </w:p>
        </w:tc>
        <w:tc>
          <w:tcPr/>
          <w:p>
            <w:pPr>
              <w:pStyle w:val="Compact"/>
            </w:pPr>
            <w:r>
              <w:t xml:space="preserve">The judgment is devastating and complete — the same military power that looked invincible will be consumed; imagery of forest fire consuming glory</w:t>
            </w:r>
          </w:p>
        </w:tc>
      </w:tr>
      <w:tr>
        <w:tc>
          <w:tcPr/>
          <w:p>
            <w:pPr>
              <w:pStyle w:val="Compact"/>
            </w:pPr>
            <w:r>
              <w:t xml:space="preserve">20–21</w:t>
            </w:r>
          </w:p>
        </w:tc>
        <w:tc>
          <w:tcPr/>
          <w:p>
            <w:pPr>
              <w:pStyle w:val="Compact"/>
            </w:pPr>
            <w:r>
              <w:t xml:space="preserve">The remnant of Israel will</w:t>
            </w:r>
            <w:r>
              <w:t xml:space="preserve"> </w:t>
            </w:r>
            <w:r>
              <w:t xml:space="preserve">“no longer rely on him who struck them but will truly rely on the LORD, the Holy One of Israel”</w:t>
            </w:r>
            <w:r>
              <w:t xml:space="preserve">;</w:t>
            </w:r>
            <w:r>
              <w:t xml:space="preserve"> </w:t>
            </w:r>
            <w:r>
              <w:t xml:space="preserve">“A remnant will return — a remnant of Jacob — to the Mighty God”</w:t>
            </w:r>
          </w:p>
        </w:tc>
        <w:tc>
          <w:tcPr/>
          <w:p>
            <w:pPr>
              <w:pStyle w:val="Compact"/>
            </w:pPr>
            <w:r>
              <w:t xml:space="preserve">“Truly rely”</w:t>
            </w:r>
            <w:r>
              <w:t xml:space="preserve"> </w:t>
            </w:r>
            <w:r>
              <w:t xml:space="preserve">— the Hebrew carries weight of leaning fully, not hedging; contrasts with earlier reliance on Assyria or Egypt;</w:t>
            </w:r>
            <w:r>
              <w:t xml:space="preserve"> </w:t>
            </w:r>
            <w:r>
              <w:t xml:space="preserve">“Mighty God”</w:t>
            </w:r>
            <w:r>
              <w:t xml:space="preserve"> </w:t>
            </w:r>
            <w:r>
              <w:t xml:space="preserve">appears here and in 9:6 of the coming child — canonical link</w:t>
            </w:r>
          </w:p>
        </w:tc>
      </w:tr>
      <w:tr>
        <w:tc>
          <w:tcPr/>
          <w:p>
            <w:pPr>
              <w:pStyle w:val="Compact"/>
            </w:pPr>
            <w:r>
              <w:t xml:space="preserve">22–23</w:t>
            </w:r>
          </w:p>
        </w:tc>
        <w:tc>
          <w:tcPr/>
          <w:p>
            <w:pPr>
              <w:pStyle w:val="Compact"/>
            </w:pPr>
            <w:r>
              <w:t xml:space="preserve">Though Israel is as numerous as the sand of the sea, only a remnant will return; destruction has been decreed — overflowing with righteousness</w:t>
            </w:r>
          </w:p>
        </w:tc>
        <w:tc>
          <w:tcPr/>
          <w:p>
            <w:pPr>
              <w:pStyle w:val="Compact"/>
            </w:pPr>
            <w:r>
              <w:t xml:space="preserve">Paul quotes vv. 22–23 in Romans 9:27–28; the remnant is not a consolation prize but the mode of God’s elective faithfulness</w:t>
            </w:r>
          </w:p>
        </w:tc>
      </w:tr>
      <w:tr>
        <w:tc>
          <w:tcPr/>
          <w:p>
            <w:pPr>
              <w:pStyle w:val="Compact"/>
            </w:pPr>
            <w:r>
              <w:t xml:space="preserve">24–27</w:t>
            </w:r>
          </w:p>
        </w:tc>
        <w:tc>
          <w:tcPr/>
          <w:p>
            <w:pPr>
              <w:pStyle w:val="Compact"/>
            </w:pPr>
            <w:r>
              <w:t xml:space="preserve">Word of comfort to</w:t>
            </w:r>
            <w:r>
              <w:t xml:space="preserve"> </w:t>
            </w:r>
            <w:r>
              <w:t xml:space="preserve">“my people who live in Zion”</w:t>
            </w:r>
            <w:r>
              <w:t xml:space="preserve">: do not be afraid of Assyria; I struck Egypt at the Red Sea and I will do it again;</w:t>
            </w:r>
            <w:r>
              <w:t xml:space="preserve"> </w:t>
            </w:r>
            <w:r>
              <w:t xml:space="preserve">“his yoke will be taken from you, his burden removed from your neck”</w:t>
            </w:r>
          </w:p>
        </w:tc>
        <w:tc>
          <w:tcPr/>
          <w:p>
            <w:pPr>
              <w:pStyle w:val="Compact"/>
            </w:pPr>
            <w:r>
              <w:t xml:space="preserve">The comfort is historically grounded — the Exodus is the proof of God’s pattern;</w:t>
            </w:r>
            <w:r>
              <w:t xml:space="preserve"> </w:t>
            </w:r>
            <w:r>
              <w:t xml:space="preserve">“the Holy One of Israel”</w:t>
            </w:r>
            <w:r>
              <w:t xml:space="preserve"> </w:t>
            </w:r>
            <w:r>
              <w:t xml:space="preserve">will act again as He acted before</w:t>
            </w:r>
          </w:p>
        </w:tc>
      </w:tr>
      <w:tr>
        <w:tc>
          <w:tcPr/>
          <w:p>
            <w:pPr>
              <w:pStyle w:val="Compact"/>
            </w:pPr>
            <w:r>
              <w:t xml:space="preserve">28–32</w:t>
            </w:r>
          </w:p>
        </w:tc>
        <w:tc>
          <w:tcPr/>
          <w:p>
            <w:pPr>
              <w:pStyle w:val="Compact"/>
            </w:pPr>
            <w:r>
              <w:t xml:space="preserve">A vivid march-narrative of Assyrian advance — town by town, the army advances toward Jerusalem; Daughter Zion is told to</w:t>
            </w:r>
            <w:r>
              <w:t xml:space="preserve"> </w:t>
            </w:r>
            <w:r>
              <w:t xml:space="preserve">“shake her fist”</w:t>
            </w:r>
            <w:r>
              <w:t xml:space="preserve"> </w:t>
            </w:r>
            <w:r>
              <w:t xml:space="preserve">toward it</w:t>
            </w:r>
          </w:p>
        </w:tc>
        <w:tc>
          <w:tcPr/>
          <w:p>
            <w:pPr>
              <w:pStyle w:val="Compact"/>
            </w:pPr>
            <w:r>
              <w:t xml:space="preserve">The march-narrative builds narrative tension — the threat is described at maximum vividness before its resolution; the towns named are geographically traceable, making the threat concrete</w:t>
            </w:r>
          </w:p>
        </w:tc>
      </w:tr>
      <w:tr>
        <w:tc>
          <w:tcPr/>
          <w:p>
            <w:pPr>
              <w:pStyle w:val="Compact"/>
            </w:pPr>
            <w:r>
              <w:t xml:space="preserve">33–34</w:t>
            </w:r>
          </w:p>
        </w:tc>
        <w:tc>
          <w:tcPr/>
          <w:p>
            <w:pPr>
              <w:pStyle w:val="Compact"/>
            </w:pPr>
            <w:r>
              <w:t xml:space="preserve">Dramatic reversal: the LORD Almighty will lop off the boughs with great power; the tallest trees will be felled;</w:t>
            </w:r>
            <w:r>
              <w:t xml:space="preserve"> </w:t>
            </w:r>
            <w:r>
              <w:t xml:space="preserve">“Lebanon will fall before the Mighty One”</w:t>
            </w:r>
          </w:p>
        </w:tc>
        <w:tc>
          <w:tcPr/>
          <w:p>
            <w:pPr>
              <w:pStyle w:val="Compact"/>
            </w:pPr>
            <w:r>
              <w:t xml:space="preserve">The chapter closes not with Assyria’s triumph but with God’s intervention; the forest imagery from vv. 16–19 returns and is completed; sets up Isaiah 11’s</w:t>
            </w:r>
            <w:r>
              <w:t xml:space="preserve"> </w:t>
            </w:r>
            <w:r>
              <w:t xml:space="preserve">“shoot from the stump of Jesse”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Woe to the Unjust Rulers of Israel — The Final Refrain</w:t>
            </w:r>
          </w:p>
        </w:tc>
      </w:tr>
      <w:tr>
        <w:tc>
          <w:tcPr/>
          <w:p>
            <w:pPr>
              <w:pStyle w:val="Compact"/>
            </w:pPr>
            <w:r>
              <w:t xml:space="preserve">2</w:t>
            </w:r>
          </w:p>
        </w:tc>
        <w:tc>
          <w:tcPr/>
          <w:p>
            <w:pPr>
              <w:pStyle w:val="Compact"/>
            </w:pPr>
            <w:r>
              <w:t xml:space="preserve">5–15</w:t>
            </w:r>
          </w:p>
        </w:tc>
        <w:tc>
          <w:tcPr/>
          <w:p>
            <w:pPr>
              <w:pStyle w:val="Compact"/>
            </w:pPr>
            <w:r>
              <w:t xml:space="preserve">The Arrogance of God’s Instrument — Assyria Judged for Pride</w:t>
            </w:r>
          </w:p>
        </w:tc>
      </w:tr>
      <w:tr>
        <w:tc>
          <w:tcPr/>
          <w:p>
            <w:pPr>
              <w:pStyle w:val="Compact"/>
            </w:pPr>
            <w:r>
              <w:t xml:space="preserve">3</w:t>
            </w:r>
          </w:p>
        </w:tc>
        <w:tc>
          <w:tcPr/>
          <w:p>
            <w:pPr>
              <w:pStyle w:val="Compact"/>
            </w:pPr>
            <w:r>
              <w:t xml:space="preserve">16–19</w:t>
            </w:r>
          </w:p>
        </w:tc>
        <w:tc>
          <w:tcPr/>
          <w:p>
            <w:pPr>
              <w:pStyle w:val="Compact"/>
            </w:pPr>
            <w:r>
              <w:t xml:space="preserve">The Sentence Declared — Assyria’s Glory Consumed</w:t>
            </w:r>
          </w:p>
        </w:tc>
      </w:tr>
      <w:tr>
        <w:tc>
          <w:tcPr/>
          <w:p>
            <w:pPr>
              <w:pStyle w:val="Compact"/>
            </w:pPr>
            <w:r>
              <w:t xml:space="preserve">4</w:t>
            </w:r>
          </w:p>
        </w:tc>
        <w:tc>
          <w:tcPr/>
          <w:p>
            <w:pPr>
              <w:pStyle w:val="Compact"/>
            </w:pPr>
            <w:r>
              <w:t xml:space="preserve">20–27</w:t>
            </w:r>
          </w:p>
        </w:tc>
        <w:tc>
          <w:tcPr/>
          <w:p>
            <w:pPr>
              <w:pStyle w:val="Compact"/>
            </w:pPr>
            <w:r>
              <w:t xml:space="preserve">The Remnant and the Comfort — Fear Not, For I Am in Control</w:t>
            </w:r>
          </w:p>
        </w:tc>
      </w:tr>
      <w:tr>
        <w:tc>
          <w:tcPr/>
          <w:p>
            <w:pPr>
              <w:pStyle w:val="Compact"/>
            </w:pPr>
            <w:r>
              <w:t xml:space="preserve">5</w:t>
            </w:r>
          </w:p>
        </w:tc>
        <w:tc>
          <w:tcPr/>
          <w:p>
            <w:pPr>
              <w:pStyle w:val="Compact"/>
            </w:pPr>
            <w:r>
              <w:t xml:space="preserve">28–34</w:t>
            </w:r>
          </w:p>
        </w:tc>
        <w:tc>
          <w:tcPr/>
          <w:p>
            <w:pPr>
              <w:pStyle w:val="Compact"/>
            </w:pPr>
            <w:r>
              <w:t xml:space="preserve">The March and the Fall — God Fells the Forest He Raised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alone commissions, limits, and judges every earthly power — none escapes His sovereign hand.</w:t>
      </w:r>
    </w:p>
    <w:p>
      <w:pPr>
        <w:pStyle w:val="BodyText"/>
      </w:pPr>
      <w:r>
        <w:rPr>
          <w:b/>
          <w:bCs/>
        </w:rPr>
        <w:t xml:space="preserve">Primary Claim:</w:t>
      </w:r>
      <w:r>
        <w:t xml:space="preserve"> </w:t>
      </w:r>
      <w:r>
        <w:t xml:space="preserve">God is calling His people to see that every power that threatens them is already in His hand — raised up by Him, bounded by Him, and answerable to Him — so that their only rational, faithful response is to stop fearing what He controls and trust the One who controls 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 is terrifying you by asking who controls it.</w:t>
      </w:r>
      <w:r>
        <w:t xml:space="preserve"> </w:t>
      </w:r>
      <w:r>
        <w:rPr>
          <w:i/>
          <w:iCs/>
        </w:rPr>
        <w:t xml:space="preserve">(Mind/belief)</w:t>
      </w:r>
      <w:r>
        <w:t xml:space="preserve"> </w:t>
      </w:r>
      <w:r>
        <w:t xml:space="preserve">The remnant in Jerusalem looked at Sennacherib’s army and saw what appeared to be autonomous, irresistible power. Isaiah 10 insists they were looking at a</w:t>
      </w:r>
      <w:r>
        <w:t xml:space="preserve"> </w:t>
      </w:r>
      <w:r>
        <w:rPr>
          <w:i/>
          <w:iCs/>
        </w:rPr>
        <w:t xml:space="preserve">tool in God’s hand</w:t>
      </w:r>
      <w:r>
        <w:t xml:space="preserve"> </w:t>
      </w:r>
      <w:r>
        <w:t xml:space="preserve">— and tools do not exceed their commission without consequence. Whatever power, situation, or threat currently appears to you as autonomous and irresistible is under the same discipline. The diagnostic question is not</w:t>
      </w:r>
      <w:r>
        <w:t xml:space="preserve"> </w:t>
      </w:r>
      <w:r>
        <w:t xml:space="preserve">“how do I escape this?”</w:t>
      </w:r>
      <w:r>
        <w:t xml:space="preserve"> </w:t>
      </w:r>
      <w:r>
        <w:t xml:space="preserve">but</w:t>
      </w:r>
      <w:r>
        <w:t xml:space="preserve"> </w:t>
      </w:r>
      <w:r>
        <w:t xml:space="preserve">“who holds this, and what is He doing with it?”</w:t>
      </w:r>
      <w:r>
        <w:t xml:space="preserve"> </w:t>
      </w:r>
      <w:r>
        <w:t xml:space="preserve">Reorienting the question changes the posture from panic to attentiveness.</w:t>
      </w:r>
    </w:p>
    <w:p>
      <w:pPr>
        <w:pStyle w:val="BodyText"/>
      </w:pPr>
      <w:r>
        <w:rPr>
          <w:b/>
          <w:bCs/>
        </w:rPr>
        <w:t xml:space="preserve">2. Repent of the specific sin of Assyria: self-attribution.</w:t>
      </w:r>
      <w:r>
        <w:t xml:space="preserve"> </w:t>
      </w:r>
      <w:r>
        <w:rPr>
          <w:i/>
          <w:iCs/>
        </w:rPr>
        <w:t xml:space="preserve">(Affections/worship)</w:t>
      </w:r>
      <w:r>
        <w:t xml:space="preserve"> </w:t>
      </w:r>
      <w:r>
        <w:t xml:space="preserve">Assyria’s guilt is located by the text in a specific act of the heart: claiming for itself —</w:t>
      </w:r>
      <w:r>
        <w:t xml:space="preserve"> </w:t>
      </w:r>
      <w:r>
        <w:t xml:space="preserve">“my hand, my wisdom, my understanding”</w:t>
      </w:r>
      <w:r>
        <w:t xml:space="preserve"> </w:t>
      </w:r>
      <w:r>
        <w:t xml:space="preserve">— what was God’s work done through it. This is not an exotic ancient sin; it is the default posture of the human heart toward any success, capacity, or achievement. Wherever you have been attributing to your own competence, strategy, or effort what is actually God’s work through you, this passage calls that what it is: the arrogance of the axe boasting over the woodcutter. Genuine worship is the practice of right attribution — returning to God what is His.</w:t>
      </w:r>
    </w:p>
    <w:p>
      <w:pPr>
        <w:pStyle w:val="BodyText"/>
      </w:pPr>
      <w:r>
        <w:rPr>
          <w:b/>
          <w:bCs/>
        </w:rPr>
        <w:t xml:space="preserve">3. Identify where you are</w:t>
      </w:r>
      <w:r>
        <w:rPr>
          <w:b/>
          <w:bCs/>
        </w:rPr>
        <w:t xml:space="preserve"> </w:t>
      </w:r>
      <w:r>
        <w:rPr>
          <w:b/>
          <w:bCs/>
        </w:rPr>
        <w:t xml:space="preserve">“relying on him who struck you”</w:t>
      </w:r>
      <w:r>
        <w:rPr>
          <w:b/>
          <w:bCs/>
        </w:rPr>
        <w:t xml:space="preserve"> </w:t>
      </w:r>
      <w:r>
        <w:rPr>
          <w:b/>
          <w:bCs/>
        </w:rPr>
        <w:t xml:space="preserve">rather than on the LORD.</w:t>
      </w:r>
      <w:r>
        <w:t xml:space="preserve"> </w:t>
      </w:r>
      <w:r>
        <w:rPr>
          <w:i/>
          <w:iCs/>
        </w:rPr>
        <w:t xml:space="preserve">(Mind/belief)</w:t>
      </w:r>
      <w:r>
        <w:t xml:space="preserve"> </w:t>
      </w:r>
      <w:r>
        <w:t xml:space="preserve">Verse 20 describes a specific failure the remnant is being called out of: relying on the power that wounded them rather than on the LORD. This is the pattern of returning to functional saviors — the very things that have already failed or harmed us — because their familiarity feels more manageable than trust in the unseen God. Take stock of where you have been placing your functional reliance: in a political structure that has already disappointed you, a relationship that has already wounded you, an institution that has already failed you, a financial cushion that has already proved insufficient. The call of verse 20 is not subtle:</w:t>
      </w:r>
      <w:r>
        <w:t xml:space="preserve"> </w:t>
      </w:r>
      <w:r>
        <w:rPr>
          <w:i/>
          <w:iCs/>
        </w:rPr>
        <w:t xml:space="preserve">stop relying on what struck you.</w:t>
      </w:r>
    </w:p>
    <w:p>
      <w:pPr>
        <w:pStyle w:val="BodyText"/>
      </w:pPr>
      <w:r>
        <w:rPr>
          <w:b/>
          <w:bCs/>
        </w:rPr>
        <w:t xml:space="preserve">4. Let the Exodus-logic reshape your expectations about present distress.</w:t>
      </w:r>
      <w:r>
        <w:t xml:space="preserve"> </w:t>
      </w:r>
      <w:r>
        <w:rPr>
          <w:i/>
          <w:iCs/>
        </w:rPr>
        <w:t xml:space="preserve">(Affections/worship)</w:t>
      </w:r>
      <w:r>
        <w:t xml:space="preserve"> </w:t>
      </w:r>
      <w:r>
        <w:t xml:space="preserve">Verses 24–26 deploy a specific theological argument for comfort:</w:t>
      </w:r>
      <w:r>
        <w:t xml:space="preserve"> </w:t>
      </w:r>
      <w:r>
        <w:t xml:space="preserve">“Do not be afraid of Assyria… for in a little while, my anger against you will end and my wrath will be directed to their destruction. The LORD Almighty will lash them with a whip… as when he struck down Midian at the rock of Oreb.”</w:t>
      </w:r>
      <w:r>
        <w:t xml:space="preserve"> </w:t>
      </w:r>
      <w:r>
        <w:t xml:space="preserve">God’s comfort is not merely</w:t>
      </w:r>
      <w:r>
        <w:t xml:space="preserve"> </w:t>
      </w:r>
      <w:r>
        <w:t xml:space="preserve">“trust me”</w:t>
      </w:r>
      <w:r>
        <w:t xml:space="preserve"> </w:t>
      </w:r>
      <w:r>
        <w:t xml:space="preserve">— it is</w:t>
      </w:r>
      <w:r>
        <w:t xml:space="preserve"> </w:t>
      </w:r>
      <w:r>
        <w:t xml:space="preserve">“here is My track record; here is how I have acted before; here is the pattern you can extrapolate.”</w:t>
      </w:r>
      <w:r>
        <w:t xml:space="preserve"> </w:t>
      </w:r>
      <w:r>
        <w:t xml:space="preserve">The Exodus is the paradigm. The believer who knows the Exodus has interpretive categories for present darkness that the person without that history simply does not have. Immerse yourself in the redemptive narrative — not as inspiring stories but as the record of God’s pattern — so that the present darkness does not look like an exception to His care but like the context in which His deliverance characteristically arrives.</w:t>
      </w:r>
    </w:p>
    <w:p>
      <w:pPr>
        <w:pStyle w:val="BodyText"/>
      </w:pPr>
      <w:r>
        <w:rPr>
          <w:b/>
          <w:bCs/>
        </w:rPr>
        <w:t xml:space="preserve">5. Stop living with a functional view of power that leaves God out of the picture.</w:t>
      </w:r>
      <w:r>
        <w:t xml:space="preserve"> </w:t>
      </w:r>
      <w:r>
        <w:rPr>
          <w:i/>
          <w:iCs/>
        </w:rPr>
        <w:t xml:space="preserve">(Will/behavior)</w:t>
      </w:r>
      <w:r>
        <w:t xml:space="preserve"> </w:t>
      </w:r>
      <w:r>
        <w:t xml:space="preserve">The chapter’s practical demand is a change in how the remnant orients its daily decisions under political and military threat.</w:t>
      </w:r>
      <w:r>
        <w:t xml:space="preserve"> </w:t>
      </w:r>
      <w:r>
        <w:t xml:space="preserve">“Do not be afraid of Assyria”</w:t>
      </w:r>
      <w:r>
        <w:t xml:space="preserve"> </w:t>
      </w:r>
      <w:r>
        <w:t xml:space="preserve">(v. 24) is not an emotional instruction but a behavioral one — stop making your decisions as though Assyria were the determining factor in your future. For the contemporary reader, name the specific Assyrias: the employer whose decisions feel final, the diagnosis whose prognosis feels determinative, the political arrangement whose outcome feels controlling, the economic pressure whose direction feels irreversible. Isaiah 10 demands that none of these be treated as ultimate in the practical ordering of your life. Make decisions as a person whose future is held by the One who fells forests — not as a person whose future is controlled by the forest.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Isaiah 10 teaches with uncommon clarity that God’s sovereignty over history is not passive or permissive but active and directive — He commissions powers, He bounds them, and He judges them for exceeding their commission. This passage demonstrates that the God of Scripture is not a spectator of Assyrian imperialism who manages to extract good outcomes from bad situations; He is the Lord of Assyria’s rise and fall, who has written the script Assyria performs without knowing it. At the same time, the passage guards against a determinism that evacuates moral responsibility — Assyria is genuinely guilty for its pride precisely because its sin was a matter of the heart’s orientation, not merely the body’s action. The justice of God is shown to operate on two tracks simultaneously: judging Israel for covenant unfaithfulness and judging Assyria for arrogant instrumentality — demonstrating that the LORD is not partial to His own nation but is the righteous judge of all. The doctrine of the remnant, articulated here with precision, reveals that God’s faithfulness to His covenant people is preserved not through the preservation of the whole but through the faithful few — a principle that becomes the template for understanding the cross itself.</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Isaiah 10 is a locus classicus for the Reformed understanding of</w:t>
      </w:r>
      <w:r>
        <w:t xml:space="preserve"> </w:t>
      </w:r>
      <w:r>
        <w:rPr>
          <w:i/>
          <w:iCs/>
        </w:rPr>
        <w:t xml:space="preserve">concursus</w:t>
      </w:r>
      <w:r>
        <w:t xml:space="preserve"> </w:t>
      </w:r>
      <w:r>
        <w:t xml:space="preserve">— the doctrine that God works His sovereign will through secondary causes without those causes becoming mere puppets or losing genuine moral agency. The axe-and-woodcutter metaphor in verse 15 is the text’s own ontological statement of this: the axe is real, its action is real, the woodcutter is real, and the woodcutter’s primacy is real — the categories are not collapsed. This is the passage that stands behind the Westminster Confession’s insistence that God ordains</w:t>
      </w:r>
      <w:r>
        <w:t xml:space="preserve"> </w:t>
      </w:r>
      <w:r>
        <w:t xml:space="preserve">“whatsoever comes to pass”</w:t>
      </w:r>
      <w:r>
        <w:t xml:space="preserve"> </w:t>
      </w:r>
      <w:r>
        <w:t xml:space="preserve">while not being</w:t>
      </w:r>
      <w:r>
        <w:t xml:space="preserve"> </w:t>
      </w:r>
      <w:r>
        <w:t xml:space="preserve">“the author of sin, nor is violence offered to the will of the creatures.”</w:t>
      </w:r>
      <w:r>
        <w:t xml:space="preserve"> </w:t>
      </w:r>
      <w:r>
        <w:t xml:space="preserve">Reformed theology’s distinctive confidence in the sovereignty of God over history — including its darkest chapters — is precisely what gives the remnant its ground for hope here, and what gives the believer’s trust its rational purchase. Furthermore, the remnant theology of verses 20–23, taken up by Paul in Romans 9, is the Reformed understanding of election made visible in the prophets: God preserves a people not by preserving all of ethnic Israel but by sustaining a called and faithful remnant through judgment — the same grace-logic that operates in the gospel itself, where salvation is by sovereign grace through faith, not by national membership or human will.</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Every power that is frightening you right now is in God’s hand — commissioned by Him, limited by Him, and answerable to Him. Assyria looked like the end of the world to the remnant in Jerusalem, and God’s word to them was:</w:t>
      </w:r>
      <w:r>
        <w:t xml:space="preserve"> </w:t>
      </w:r>
      <w:r>
        <w:rPr>
          <w:i/>
          <w:iCs/>
        </w:rPr>
        <w:t xml:space="preserve">I built it, I will break it, and your job is to stop relying on everything except Me.</w:t>
      </w:r>
      <w:r>
        <w:t xml:space="preserve"> </w:t>
      </w:r>
      <w:r>
        <w:t xml:space="preserve">That word has not changed. Stop treating the threatening powers in your life as though they were autonomous. The One who felled Assyria’s forest overnight is the same One who holds your future — and He has never once lost control of an instrument He raised.</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woe oracles (vv. 1–4) without connecting them to the chapter’s larger claim.</w:t>
      </w:r>
      <w:r>
        <w:t xml:space="preserve"> </w:t>
      </w:r>
      <w:r>
        <w:t xml:space="preserve">The woes against unjust rulers are frequently excerpted for social-justice application, which is legitimate as far as it goes — but extracted from the chapter they lose their force. The woes function as the opening movement of a much larger argument about divine sovereignty. A sermon that treats only verses 1–4 as a stand-alone social ethics text misses the reason those rulers are in the text at all: to show that</w:t>
      </w:r>
      <w:r>
        <w:t xml:space="preserve"> </w:t>
      </w:r>
      <w:r>
        <w:rPr>
          <w:i/>
          <w:iCs/>
        </w:rPr>
        <w:t xml:space="preserve">Israel’s own leadership</w:t>
      </w:r>
      <w:r>
        <w:t xml:space="preserve"> </w:t>
      </w:r>
      <w:r>
        <w:t xml:space="preserve">stood under the same judgment as Assyria, and that God’s sovereign hand was raised against His own people before it was raised against the empire. The woes are not primarily a platform for social commentary; they are the opening statement in a comprehensive account of God’s judicial sovereignty over all human power.</w:t>
      </w:r>
    </w:p>
    <w:p>
      <w:pPr>
        <w:numPr>
          <w:ilvl w:val="0"/>
          <w:numId w:val="1002"/>
        </w:numPr>
      </w:pPr>
      <w:r>
        <w:rPr>
          <w:b/>
          <w:bCs/>
        </w:rPr>
        <w:t xml:space="preserve">Flattening the tension of Assyrian guilt into a theodicy platitude.</w:t>
      </w:r>
      <w:r>
        <w:t xml:space="preserve"> </w:t>
      </w:r>
      <w:r>
        <w:t xml:space="preserve">This is the most common mishandling of the passage. Reducing</w:t>
      </w:r>
      <w:r>
        <w:t xml:space="preserve"> </w:t>
      </w:r>
      <w:r>
        <w:t xml:space="preserve">“God uses evil nations for His purposes”</w:t>
      </w:r>
      <w:r>
        <w:t xml:space="preserve"> </w:t>
      </w:r>
      <w:r>
        <w:t xml:space="preserve">to a general principle that</w:t>
      </w:r>
      <w:r>
        <w:t xml:space="preserve"> </w:t>
      </w:r>
      <w:r>
        <w:t xml:space="preserve">“God works all things for good”</w:t>
      </w:r>
      <w:r>
        <w:t xml:space="preserve"> </w:t>
      </w:r>
      <w:r>
        <w:t xml:space="preserve">loses the specific weight of what the text is doing. The text is not resolving theodicy — it is indicting Assyria. The point is not merely that God can extract good from evil but that Assyria will</w:t>
      </w:r>
      <w:r>
        <w:t xml:space="preserve"> </w:t>
      </w:r>
      <w:r>
        <w:rPr>
          <w:i/>
          <w:iCs/>
        </w:rPr>
        <w:t xml:space="preserve">answer</w:t>
      </w:r>
      <w:r>
        <w:t xml:space="preserve"> </w:t>
      </w:r>
      <w:r>
        <w:t xml:space="preserve">for the posture of its heart even while God used its hands. The pastoral consequence is significant: the oppressor does not escape by serving as a useful instrument. Soft-pedaling this evacuates the passage’s comfort for those who have been genuinely harmed by powers claiming to serve God’s purposes.</w:t>
      </w:r>
    </w:p>
    <w:p>
      <w:pPr>
        <w:numPr>
          <w:ilvl w:val="0"/>
          <w:numId w:val="1002"/>
        </w:numPr>
      </w:pPr>
      <w:r>
        <w:rPr>
          <w:b/>
          <w:bCs/>
        </w:rPr>
        <w:t xml:space="preserve">Treating the remnant theme as a consolation prize rather than an elective principle.</w:t>
      </w:r>
      <w:r>
        <w:t xml:space="preserve"> </w:t>
      </w:r>
      <w:r>
        <w:t xml:space="preserve">Verses 20–23 must not be preached as</w:t>
      </w:r>
      <w:r>
        <w:t xml:space="preserve"> </w:t>
      </w:r>
      <w:r>
        <w:t xml:space="preserve">“at least a few will survive”</w:t>
      </w:r>
      <w:r>
        <w:t xml:space="preserve"> </w:t>
      </w:r>
      <w:r>
        <w:t xml:space="preserve">— as though the remnant is a diminished outcome God accepts when the full result is unavailable. The remnant is God’s</w:t>
      </w:r>
      <w:r>
        <w:t xml:space="preserve"> </w:t>
      </w:r>
      <w:r>
        <w:rPr>
          <w:i/>
          <w:iCs/>
        </w:rPr>
        <w:t xml:space="preserve">chosen mode</w:t>
      </w:r>
      <w:r>
        <w:t xml:space="preserve"> </w:t>
      </w:r>
      <w:r>
        <w:t xml:space="preserve">of preserving covenant faithfulness. This is not Plan B; it is the plan. Preaching it as mere comfort (</w:t>
      </w:r>
      <w:r>
        <w:t xml:space="preserve">“even in the worst case, some will make it”</w:t>
      </w:r>
      <w:r>
        <w:t xml:space="preserve">) misses the theological claim: God’s elective faithfulness has always operated through the faithful few rather than the preserved many, and this principle reaches its climax in Christ, the ultimate Remnant from Israel through whom all the nations are blessed.</w:t>
      </w:r>
    </w:p>
    <w:p>
      <w:pPr>
        <w:numPr>
          <w:ilvl w:val="0"/>
          <w:numId w:val="1002"/>
        </w:numPr>
      </w:pPr>
      <w:r>
        <w:rPr>
          <w:b/>
          <w:bCs/>
        </w:rPr>
        <w:t xml:space="preserve">Preaching</w:t>
      </w:r>
      <w:r>
        <w:rPr>
          <w:b/>
          <w:bCs/>
        </w:rPr>
        <w:t xml:space="preserve"> </w:t>
      </w:r>
      <w:r>
        <w:rPr>
          <w:b/>
          <w:bCs/>
        </w:rPr>
        <w:t xml:space="preserve">“do not be afraid”</w:t>
      </w:r>
      <w:r>
        <w:rPr>
          <w:b/>
          <w:bCs/>
        </w:rPr>
        <w:t xml:space="preserve"> </w:t>
      </w:r>
      <w:r>
        <w:rPr>
          <w:b/>
          <w:bCs/>
        </w:rPr>
        <w:t xml:space="preserve">as a general encouragement without grounding it in the specific argument.</w:t>
      </w:r>
      <w:r>
        <w:t xml:space="preserve"> </w:t>
      </w:r>
      <w:r>
        <w:t xml:space="preserve">Verse 24’s command not to fear Assyria is frequently cited as a general anxiety-relief text. But the command is tethered to a specific argument:</w:t>
      </w:r>
      <w:r>
        <w:t xml:space="preserve"> </w:t>
      </w:r>
      <w:r>
        <w:t xml:space="preserve">“for in a little while, my wrath will be directed to their destruction”</w:t>
      </w:r>
      <w:r>
        <w:t xml:space="preserve"> </w:t>
      </w:r>
      <w:r>
        <w:t xml:space="preserve">and</w:t>
      </w:r>
      <w:r>
        <w:t xml:space="preserve"> </w:t>
      </w:r>
      <w:r>
        <w:t xml:space="preserve">“the LORD Almighty will lash them.”</w:t>
      </w:r>
      <w:r>
        <w:t xml:space="preserve"> </w:t>
      </w:r>
      <w:r>
        <w:t xml:space="preserve">The comfort is not generic reassurance — it is an argument from God’s declared purposes and track record. Preaching</w:t>
      </w:r>
      <w:r>
        <w:t xml:space="preserve"> </w:t>
      </w:r>
      <w:r>
        <w:t xml:space="preserve">“do not fear”</w:t>
      </w:r>
      <w:r>
        <w:t xml:space="preserve"> </w:t>
      </w:r>
      <w:r>
        <w:t xml:space="preserve">without preaching the</w:t>
      </w:r>
      <w:r>
        <w:t xml:space="preserve"> </w:t>
      </w:r>
      <w:r>
        <w:rPr>
          <w:i/>
          <w:iCs/>
        </w:rPr>
        <w:t xml:space="preserve">grounds</w:t>
      </w:r>
      <w:r>
        <w:t xml:space="preserve"> </w:t>
      </w:r>
      <w:r>
        <w:t xml:space="preserve">on which that command rests produces therapeutic Christianity — an emotion encouraged without a basis offered. The text offers a basis; the preacher must preach it.</w:t>
      </w:r>
    </w:p>
    <w:p>
      <w:pPr>
        <w:numPr>
          <w:ilvl w:val="0"/>
          <w:numId w:val="1002"/>
        </w:numPr>
      </w:pPr>
      <w:r>
        <w:rPr>
          <w:b/>
          <w:bCs/>
        </w:rPr>
        <w:t xml:space="preserve">Missing the canonical hinge between Isaiah 10 and Isaiah 11.</w:t>
      </w:r>
      <w:r>
        <w:t xml:space="preserve"> </w:t>
      </w:r>
      <w:r>
        <w:t xml:space="preserve">The chapter closes with Assyria felled like a great forest (v. 33–34:</w:t>
      </w:r>
      <w:r>
        <w:t xml:space="preserve"> </w:t>
      </w:r>
      <w:r>
        <w:t xml:space="preserve">“Lebanon will fall before the Mighty One”</w:t>
      </w:r>
      <w:r>
        <w:t xml:space="preserve">). Isaiah 11 opens immediately:</w:t>
      </w:r>
      <w:r>
        <w:t xml:space="preserve"> </w:t>
      </w:r>
      <w:r>
        <w:t xml:space="preserve">“A shoot will come up from the stump of Jesse.”</w:t>
      </w:r>
      <w:r>
        <w:t xml:space="preserve"> </w:t>
      </w:r>
      <w:r>
        <w:t xml:space="preserve">This is not a coincidence of placement — it is the prophet’s deliberate canonical argument. After the forest of imperial arrogance falls, a tiny shoot emerges from an apparently dead stump. The remnant’s hope is not merely political survival; it points forward to the coming King. A sermon on Isaiah 10 that does not at least gesture toward Isaiah 11 leaves the passage’s own eschatological trajectory incomplete.</w:t>
      </w:r>
    </w:p>
    <w:p>
      <w:pPr>
        <w:numPr>
          <w:ilvl w:val="0"/>
          <w:numId w:val="1002"/>
        </w:numPr>
      </w:pPr>
      <w:r>
        <w:rPr>
          <w:b/>
          <w:bCs/>
        </w:rPr>
        <w:t xml:space="preserve">Applying the passage moralistically to</w:t>
      </w:r>
      <w:r>
        <w:rPr>
          <w:b/>
          <w:bCs/>
        </w:rPr>
        <w:t xml:space="preserve"> </w:t>
      </w:r>
      <w:r>
        <w:rPr>
          <w:b/>
          <w:bCs/>
        </w:rPr>
        <w:t xml:space="preserve">“be humble, not arrogant like Assyria.”</w:t>
      </w:r>
      <w:r>
        <w:t xml:space="preserve"> </w:t>
      </w:r>
      <w:r>
        <w:t xml:space="preserve">The Clowney anti-moralism principle applies here with particular force.</w:t>
      </w:r>
      <w:r>
        <w:t xml:space="preserve"> </w:t>
      </w:r>
      <w:r>
        <w:t xml:space="preserve">“Don’t be arrogant like Assyria”</w:t>
      </w:r>
      <w:r>
        <w:t xml:space="preserve"> </w:t>
      </w:r>
      <w:r>
        <w:t xml:space="preserve">is not the point — the point is that arrogant Assyria is in God’s hand and will answer to God’s judgment. The application is not primarily behavioral imitation or avoidance; it is a reorientation of the hearer’s entire framework for understanding power, threat, and hope. Preaching that lands on</w:t>
      </w:r>
      <w:r>
        <w:t xml:space="preserve"> </w:t>
      </w:r>
      <w:r>
        <w:t xml:space="preserve">“so let’s all be humble”</w:t>
      </w:r>
      <w:r>
        <w:t xml:space="preserve"> </w:t>
      </w:r>
      <w:r>
        <w:t xml:space="preserve">has reduced a massive theodicy-and-sovereignty text to a character-formation reminder. The passage demands a far more fundamental reckoning: who is actually in control of the forces that frighten you?</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2026-07-14T21:05:30Z</dcterms:created>
  <dcterms:modified xsi:type="dcterms:W3CDTF">2026-07-14T21:05:30Z</dcterms:modified>
</cp:coreProperties>
</file>

<file path=docProps/custom.xml><?xml version="1.0" encoding="utf-8"?>
<Properties xmlns="http://schemas.openxmlformats.org/officeDocument/2006/custom-properties" xmlns:vt="http://schemas.openxmlformats.org/officeDocument/2006/docPropsVTypes"/>
</file>